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B84D5" w14:textId="5CB32D80" w:rsidR="00557324" w:rsidRPr="00444D98" w:rsidRDefault="00444D98" w:rsidP="00444D98">
      <w:pPr>
        <w:pStyle w:val="Tytu"/>
        <w:rPr>
          <w:rFonts w:ascii="Arial" w:hAnsi="Arial" w:cs="Arial"/>
          <w:b/>
          <w:bCs/>
          <w:sz w:val="22"/>
          <w:szCs w:val="22"/>
        </w:rPr>
      </w:pPr>
      <w:r w:rsidRPr="00444D98">
        <w:rPr>
          <w:rFonts w:ascii="Arial" w:hAnsi="Arial" w:cs="Arial"/>
          <w:b/>
          <w:bCs/>
          <w:sz w:val="22"/>
          <w:szCs w:val="22"/>
        </w:rPr>
        <w:t xml:space="preserve">Zagadnienia na egzamin dyplomowy – kierunek Dietetyka, studia </w:t>
      </w:r>
      <w:r w:rsidR="00994152">
        <w:rPr>
          <w:rFonts w:ascii="Arial" w:hAnsi="Arial" w:cs="Arial"/>
          <w:b/>
          <w:bCs/>
          <w:sz w:val="22"/>
          <w:szCs w:val="22"/>
        </w:rPr>
        <w:t>licencjackie</w:t>
      </w:r>
      <w:r w:rsidRPr="00444D98">
        <w:rPr>
          <w:rFonts w:ascii="Arial" w:hAnsi="Arial" w:cs="Arial"/>
          <w:b/>
          <w:bCs/>
          <w:sz w:val="22"/>
          <w:szCs w:val="22"/>
        </w:rPr>
        <w:t xml:space="preserve"> (I stopnia)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56733968" w14:textId="4DC544C0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Dieta DASH – zasady i założenia diety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D6E3435" w14:textId="1551A0C6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Dieta śródziemnomorska w terapii chorób cywilizacyjnych</w:t>
      </w:r>
      <w:r>
        <w:rPr>
          <w:rFonts w:ascii="Arial" w:hAnsi="Arial" w:cs="Arial"/>
        </w:rPr>
        <w:t xml:space="preserve"> </w:t>
      </w:r>
      <w:r w:rsidRPr="00E523B7">
        <w:rPr>
          <w:rFonts w:ascii="Arial" w:hAnsi="Arial" w:cs="Arial"/>
        </w:rPr>
        <w:t>- główne założenia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27D59E89" w14:textId="77917F8D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Rodzaje diet wegetariańskich - korzyści i zagrożenia z ich stosowania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492FB9F9" w14:textId="23D74A32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E523B7">
        <w:rPr>
          <w:rFonts w:ascii="Arial" w:hAnsi="Arial" w:cs="Arial"/>
        </w:rPr>
        <w:t>Dietoterapia</w:t>
      </w:r>
      <w:proofErr w:type="spellEnd"/>
      <w:r w:rsidRPr="00E523B7">
        <w:rPr>
          <w:rFonts w:ascii="Arial" w:hAnsi="Arial" w:cs="Arial"/>
        </w:rPr>
        <w:t xml:space="preserve"> zespołu jelita drażliwego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46FE54E2" w14:textId="15463150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Żywność funkcjonalna w terapii zaburzeń lipidowych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260B2A42" w14:textId="40DE990A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Zasady diety o kontrolowanej zawartości kwasów tłuszczowych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560FCBF" w14:textId="36A1D958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Zagrożenia zdrowotne wynikające ze stosowania diet alternatywnych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44CCEBE6" w14:textId="7A1BCE18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Rola indeksu i ładunku </w:t>
      </w:r>
      <w:proofErr w:type="spellStart"/>
      <w:r w:rsidRPr="00E523B7">
        <w:rPr>
          <w:rFonts w:ascii="Arial" w:hAnsi="Arial" w:cs="Arial"/>
        </w:rPr>
        <w:t>glikemicznego</w:t>
      </w:r>
      <w:proofErr w:type="spellEnd"/>
      <w:r w:rsidRPr="00E523B7">
        <w:rPr>
          <w:rFonts w:ascii="Arial" w:hAnsi="Arial" w:cs="Arial"/>
        </w:rPr>
        <w:t xml:space="preserve"> w terapii cukrzycy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0482BF75" w14:textId="17BE79B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Zasady </w:t>
      </w:r>
      <w:proofErr w:type="spellStart"/>
      <w:r w:rsidRPr="00E523B7">
        <w:rPr>
          <w:rFonts w:ascii="Arial" w:hAnsi="Arial" w:cs="Arial"/>
        </w:rPr>
        <w:t>dietoterapii</w:t>
      </w:r>
      <w:proofErr w:type="spellEnd"/>
      <w:r w:rsidRPr="00E523B7">
        <w:rPr>
          <w:rFonts w:ascii="Arial" w:hAnsi="Arial" w:cs="Arial"/>
        </w:rPr>
        <w:t xml:space="preserve"> w zespole metabolicznym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 </w:t>
      </w:r>
    </w:p>
    <w:p w14:paraId="26F7AA5F" w14:textId="015012DD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Wpływ frakcji błonnika pokarmowego na glikemię i </w:t>
      </w:r>
      <w:proofErr w:type="spellStart"/>
      <w:r w:rsidRPr="00E523B7">
        <w:rPr>
          <w:rFonts w:ascii="Arial" w:hAnsi="Arial" w:cs="Arial"/>
        </w:rPr>
        <w:t>lipidogram</w:t>
      </w:r>
      <w:proofErr w:type="spellEnd"/>
      <w:r w:rsidRPr="00E523B7">
        <w:rPr>
          <w:rFonts w:ascii="Arial" w:hAnsi="Arial" w:cs="Arial"/>
        </w:rPr>
        <w:t xml:space="preserve"> osocza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064FC134" w14:textId="77F0504B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Etiopatogeneza nowotworów. Pojęcie proliferacji. Onkogeny i </w:t>
      </w:r>
      <w:proofErr w:type="spellStart"/>
      <w:r w:rsidRPr="00E523B7">
        <w:rPr>
          <w:rFonts w:ascii="Arial" w:hAnsi="Arial" w:cs="Arial"/>
        </w:rPr>
        <w:t>protoonkogeny</w:t>
      </w:r>
      <w:proofErr w:type="spellEnd"/>
      <w:r w:rsidRPr="00E523B7">
        <w:rPr>
          <w:rFonts w:ascii="Arial" w:hAnsi="Arial" w:cs="Arial"/>
        </w:rPr>
        <w:t xml:space="preserve">. </w:t>
      </w:r>
    </w:p>
    <w:p w14:paraId="3CB38E54" w14:textId="59454D4C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Epidemiologia raka żołądka. Różnice między dwoma typami żołądka w zależności od kwalifikacji </w:t>
      </w:r>
      <w:proofErr w:type="spellStart"/>
      <w:r w:rsidRPr="00E523B7">
        <w:rPr>
          <w:rFonts w:ascii="Arial" w:hAnsi="Arial" w:cs="Arial"/>
        </w:rPr>
        <w:t>Laurena</w:t>
      </w:r>
      <w:proofErr w:type="spellEnd"/>
      <w:r w:rsidRPr="00E523B7">
        <w:rPr>
          <w:rFonts w:ascii="Arial" w:hAnsi="Arial" w:cs="Arial"/>
        </w:rPr>
        <w:t xml:space="preserve">. </w:t>
      </w:r>
    </w:p>
    <w:p w14:paraId="4F680D53" w14:textId="4469FB5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Wpływ </w:t>
      </w:r>
      <w:proofErr w:type="spellStart"/>
      <w:r>
        <w:rPr>
          <w:rFonts w:ascii="Arial" w:hAnsi="Arial" w:cs="Arial"/>
        </w:rPr>
        <w:t>h</w:t>
      </w:r>
      <w:r w:rsidRPr="00E523B7">
        <w:rPr>
          <w:rFonts w:ascii="Arial" w:hAnsi="Arial" w:cs="Arial"/>
        </w:rPr>
        <w:t>elicobecter</w:t>
      </w:r>
      <w:proofErr w:type="spellEnd"/>
      <w:r w:rsidRPr="00E523B7">
        <w:rPr>
          <w:rFonts w:ascii="Arial" w:hAnsi="Arial" w:cs="Arial"/>
        </w:rPr>
        <w:t xml:space="preserve"> </w:t>
      </w:r>
      <w:proofErr w:type="spellStart"/>
      <w:r w:rsidRPr="00E523B7">
        <w:rPr>
          <w:rFonts w:ascii="Arial" w:hAnsi="Arial" w:cs="Arial"/>
        </w:rPr>
        <w:t>pylori</w:t>
      </w:r>
      <w:proofErr w:type="spellEnd"/>
      <w:r w:rsidRPr="00E523B7">
        <w:rPr>
          <w:rFonts w:ascii="Arial" w:hAnsi="Arial" w:cs="Arial"/>
        </w:rPr>
        <w:t xml:space="preserve"> na rozwój raka żołądka. </w:t>
      </w:r>
    </w:p>
    <w:p w14:paraId="65D3F6B3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E523B7">
        <w:rPr>
          <w:rFonts w:ascii="Arial" w:hAnsi="Arial" w:cs="Arial"/>
        </w:rPr>
        <w:t>Mikroangiopatia</w:t>
      </w:r>
      <w:proofErr w:type="spellEnd"/>
      <w:r w:rsidRPr="00E523B7">
        <w:rPr>
          <w:rFonts w:ascii="Arial" w:hAnsi="Arial" w:cs="Arial"/>
        </w:rPr>
        <w:t xml:space="preserve"> i </w:t>
      </w:r>
      <w:proofErr w:type="spellStart"/>
      <w:r w:rsidRPr="00E523B7">
        <w:rPr>
          <w:rFonts w:ascii="Arial" w:hAnsi="Arial" w:cs="Arial"/>
        </w:rPr>
        <w:t>makroangiopatia</w:t>
      </w:r>
      <w:proofErr w:type="spellEnd"/>
      <w:r w:rsidRPr="00E523B7">
        <w:rPr>
          <w:rFonts w:ascii="Arial" w:hAnsi="Arial" w:cs="Arial"/>
        </w:rPr>
        <w:t xml:space="preserve"> w cukrzycy. </w:t>
      </w:r>
    </w:p>
    <w:p w14:paraId="0FAC3128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Odwracalne stany zagrożenia życia. </w:t>
      </w:r>
    </w:p>
    <w:p w14:paraId="5BE6963C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Zasady żywieniowe w geriatrii. </w:t>
      </w:r>
    </w:p>
    <w:p w14:paraId="381E594F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Ostra niewydolność wątroby. Przyczyny, objawy, diagnostyka. </w:t>
      </w:r>
    </w:p>
    <w:p w14:paraId="7F54F98C" w14:textId="30DC137F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Nadciśnienie wrotne – przyczyny, objawy, postępowanie żywieniowe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79F6657E" w14:textId="05E4AF4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Diagnostyka cukrzycy. Patomechanizm kwasicy ketonowej.  </w:t>
      </w:r>
    </w:p>
    <w:p w14:paraId="7CA099DE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Przyczyny, postacie, metody diagnostyczne i leczenie w celiakii. </w:t>
      </w:r>
    </w:p>
    <w:p w14:paraId="383BC6AB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Badanie podmiotowe w praktyce dietetyka. </w:t>
      </w:r>
    </w:p>
    <w:p w14:paraId="6841730C" w14:textId="3124FCDA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Diagnostyka otyłości i główne założenia diety redukcyjnej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31E786E6" w14:textId="73050AAA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Czynniki żywieniowe w profilaktyce i </w:t>
      </w:r>
      <w:proofErr w:type="spellStart"/>
      <w:r w:rsidRPr="00E523B7">
        <w:rPr>
          <w:rFonts w:ascii="Arial" w:hAnsi="Arial" w:cs="Arial"/>
        </w:rPr>
        <w:t>dietoterapii</w:t>
      </w:r>
      <w:proofErr w:type="spellEnd"/>
      <w:r w:rsidRPr="00E523B7">
        <w:rPr>
          <w:rFonts w:ascii="Arial" w:hAnsi="Arial" w:cs="Arial"/>
        </w:rPr>
        <w:t xml:space="preserve"> nowotworów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A2F02D8" w14:textId="237702F0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Metody oceny stanu odżywienia u osób dorosłych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88CD16B" w14:textId="27B86950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Metody oceny stanu odżywienia u dzieci i młodzieży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6D4AAB25" w14:textId="68ACD769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Założenia gastronomii specjalnego przeznaczenia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649489E6" w14:textId="49D0BD92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Organizacja żywienia w szpitalu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317B2648" w14:textId="68056F7D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Organizacja żywienia w jednostkach oświaty (przedszkola, szkoły)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6384FE8F" w14:textId="6C678159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Znaczenie wymienników węglowodanowych i produktów o niskim i wysokim indeksie </w:t>
      </w:r>
      <w:proofErr w:type="spellStart"/>
      <w:r w:rsidRPr="00E523B7">
        <w:rPr>
          <w:rFonts w:ascii="Arial" w:hAnsi="Arial" w:cs="Arial"/>
        </w:rPr>
        <w:t>glikemicznych</w:t>
      </w:r>
      <w:proofErr w:type="spellEnd"/>
      <w:r w:rsidRPr="00E523B7">
        <w:rPr>
          <w:rFonts w:ascii="Arial" w:hAnsi="Arial" w:cs="Arial"/>
        </w:rPr>
        <w:t xml:space="preserve"> w żywieniu pacjentów z cukrzycą</w:t>
      </w:r>
      <w:r>
        <w:rPr>
          <w:rFonts w:ascii="Arial" w:hAnsi="Arial" w:cs="Arial"/>
        </w:rPr>
        <w:t>.</w:t>
      </w:r>
    </w:p>
    <w:p w14:paraId="00269463" w14:textId="71F7866C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Schemat żywienia dzieci do 1</w:t>
      </w:r>
      <w:r>
        <w:rPr>
          <w:rFonts w:ascii="Arial" w:hAnsi="Arial" w:cs="Arial"/>
        </w:rPr>
        <w:t>-</w:t>
      </w:r>
      <w:r w:rsidRPr="00E523B7">
        <w:rPr>
          <w:rFonts w:ascii="Arial" w:hAnsi="Arial" w:cs="Arial"/>
        </w:rPr>
        <w:t xml:space="preserve">ego roku życia. Zasady wprowadzania nowych produktów w żywieniu niemowląt. </w:t>
      </w:r>
    </w:p>
    <w:p w14:paraId="631744AC" w14:textId="3FECC695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Zalecenia żywieniowe dla kobiety ciężarnej i karmiącej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0EB268DC" w14:textId="798B2AF3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Metody badania składu ciała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6D6D70C6" w14:textId="6AFBB0E6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lastRenderedPageBreak/>
        <w:t>Prozdrowotne właściwości mlecznych napojów fermentowanych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A8C4641" w14:textId="54BE54E0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Zasada oznaczania wartości odżywczej produktów żywnościowych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26FFBDD" w14:textId="24CAEFD1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Aktywność wody i jej znaczenie w utrwalaniu żywności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6D1E155D" w14:textId="185EE19F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Wyjaśnij pojęcie NNKT. Rola NNKT w organizmie człowieka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362686F3" w14:textId="0B024930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Metody i znaczenie praktyczne  konsumenckich badań żywności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7F13DCFC" w14:textId="71BE614B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Cel i zasady stosowania dodatków funkcjonalnych w przetwórstwie żywności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38119F0A" w14:textId="2FA7768E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Charakterystyka metod obróbki termicznej żywności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70F2744" w14:textId="467BE640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Znaczenie ryb i owoców morza w żywieniu człowieka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3B620D02" w14:textId="1A3CF5BA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Rola i znaczenie analizy sensorycznej w ocenie jakości produktów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3B99CD22" w14:textId="2FAB9732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HACCP jako główny system zapewnienia bezpieczeństwa zdrowotnego żywności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165F6F2A" w14:textId="0CDBCE43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Urzędowa kontrola żywności</w:t>
      </w:r>
      <w:r>
        <w:rPr>
          <w:rFonts w:ascii="Arial" w:hAnsi="Arial" w:cs="Arial"/>
        </w:rPr>
        <w:t xml:space="preserve"> - </w:t>
      </w:r>
      <w:r w:rsidRPr="00E523B7">
        <w:rPr>
          <w:rFonts w:ascii="Arial" w:hAnsi="Arial" w:cs="Arial"/>
        </w:rPr>
        <w:t>podstawy prawne i organizacyjne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6638619E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Co to jest błonnik pokarmowy? Rola błonnika pokarmowego w żywieniu człowieka. </w:t>
      </w:r>
    </w:p>
    <w:p w14:paraId="1C05CF8E" w14:textId="1E73EEDE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Jakie jest przybliżone zapotrzebowanie na białko młodego mężczyzny o prawidłowej masie ciała, która wynosi 70 k</w:t>
      </w:r>
      <w:r>
        <w:rPr>
          <w:rFonts w:ascii="Arial" w:hAnsi="Arial" w:cs="Arial"/>
        </w:rPr>
        <w:t>ilogramów</w:t>
      </w:r>
      <w:r w:rsidRPr="00E523B7">
        <w:rPr>
          <w:rFonts w:ascii="Arial" w:hAnsi="Arial" w:cs="Arial"/>
        </w:rPr>
        <w:t xml:space="preserve">? </w:t>
      </w:r>
    </w:p>
    <w:p w14:paraId="25F8364E" w14:textId="79C5343C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Ile wynosi wartość energetyczna 1</w:t>
      </w:r>
      <w:r>
        <w:rPr>
          <w:rFonts w:ascii="Arial" w:hAnsi="Arial" w:cs="Arial"/>
        </w:rPr>
        <w:t xml:space="preserve"> grama</w:t>
      </w:r>
      <w:r w:rsidRPr="00E523B7">
        <w:rPr>
          <w:rFonts w:ascii="Arial" w:hAnsi="Arial" w:cs="Arial"/>
        </w:rPr>
        <w:t xml:space="preserve"> błonnika pokarmowego i 1 grama alkoholu etylowego? </w:t>
      </w:r>
    </w:p>
    <w:p w14:paraId="3E481F42" w14:textId="1D71CF0B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Źródła pokarmowe nienasyconych kwasów tłuszczowych w diecie człowieka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6FE40768" w14:textId="77777777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 xml:space="preserve">Które kwasy tłuszczowe są szczególnie </w:t>
      </w:r>
      <w:proofErr w:type="spellStart"/>
      <w:r w:rsidRPr="00E523B7">
        <w:rPr>
          <w:rFonts w:ascii="Arial" w:hAnsi="Arial" w:cs="Arial"/>
        </w:rPr>
        <w:t>miażdżycorodne</w:t>
      </w:r>
      <w:proofErr w:type="spellEnd"/>
      <w:r w:rsidRPr="00E523B7">
        <w:rPr>
          <w:rFonts w:ascii="Arial" w:hAnsi="Arial" w:cs="Arial"/>
        </w:rPr>
        <w:t xml:space="preserve">? </w:t>
      </w:r>
    </w:p>
    <w:p w14:paraId="19FD1838" w14:textId="42183615" w:rsidR="00E523B7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Pojęcie witamina, znaczenie i klasyfikacja witamin</w:t>
      </w:r>
      <w:r>
        <w:rPr>
          <w:rFonts w:ascii="Arial" w:hAnsi="Arial" w:cs="Arial"/>
        </w:rPr>
        <w:t>.</w:t>
      </w:r>
      <w:r w:rsidRPr="00E523B7">
        <w:rPr>
          <w:rFonts w:ascii="Arial" w:hAnsi="Arial" w:cs="Arial"/>
        </w:rPr>
        <w:t xml:space="preserve"> </w:t>
      </w:r>
    </w:p>
    <w:p w14:paraId="5FFF1316" w14:textId="47932B20" w:rsidR="00444D98" w:rsidRPr="00E523B7" w:rsidRDefault="00E523B7" w:rsidP="00E523B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E523B7">
        <w:rPr>
          <w:rFonts w:ascii="Arial" w:hAnsi="Arial" w:cs="Arial"/>
        </w:rPr>
        <w:t>Co to są mikroelementy? Podaj przykłady i scharakteryzuj ich funkcję w organizmie człowieka</w:t>
      </w:r>
      <w:r>
        <w:rPr>
          <w:rFonts w:ascii="Arial" w:hAnsi="Arial" w:cs="Arial"/>
        </w:rPr>
        <w:t>.</w:t>
      </w:r>
    </w:p>
    <w:sectPr w:rsidR="00444D98" w:rsidRPr="00E5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253F4"/>
    <w:multiLevelType w:val="hybridMultilevel"/>
    <w:tmpl w:val="FAB4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C577A"/>
    <w:multiLevelType w:val="hybridMultilevel"/>
    <w:tmpl w:val="6E68E500"/>
    <w:lvl w:ilvl="0" w:tplc="C9A2F8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A024E"/>
    <w:multiLevelType w:val="hybridMultilevel"/>
    <w:tmpl w:val="FDFA0EF6"/>
    <w:lvl w:ilvl="0" w:tplc="65C22C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27"/>
    <w:rsid w:val="00444D98"/>
    <w:rsid w:val="00557324"/>
    <w:rsid w:val="00635EEB"/>
    <w:rsid w:val="008A69E4"/>
    <w:rsid w:val="00994152"/>
    <w:rsid w:val="00E523B7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FC16"/>
  <w15:chartTrackingRefBased/>
  <w15:docId w15:val="{32514632-99E0-4267-8BA1-0216E639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4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44D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44D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44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4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Zagadnienia na egzamin dyplomowy - dietetyka studia magisterskie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na egzamin dyplomowy - dietetyka studia licencjackie</dc:title>
  <dc:subject/>
  <dc:creator>Milena Kobylińska</dc:creator>
  <cp:keywords/>
  <dc:description/>
  <cp:lastModifiedBy>Milena Kobylińska</cp:lastModifiedBy>
  <cp:revision>2</cp:revision>
  <dcterms:created xsi:type="dcterms:W3CDTF">2021-02-21T16:41:00Z</dcterms:created>
  <dcterms:modified xsi:type="dcterms:W3CDTF">2021-02-21T16:41:00Z</dcterms:modified>
</cp:coreProperties>
</file>