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84D5" w14:textId="2B2DD619" w:rsidR="00557324" w:rsidRPr="00444D98" w:rsidRDefault="00444D98" w:rsidP="00444D98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444D98">
        <w:rPr>
          <w:rFonts w:ascii="Arial" w:hAnsi="Arial" w:cs="Arial"/>
          <w:b/>
          <w:bCs/>
          <w:sz w:val="22"/>
          <w:szCs w:val="22"/>
        </w:rPr>
        <w:t>Zagadnienia na egzamin dyplomowy – kierunek Dietetyka, studia magisterskie (II stopnia)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4EF2B2B6" w14:textId="7A126142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Składniki pokarmowe istotne w </w:t>
      </w:r>
      <w:proofErr w:type="spellStart"/>
      <w:r w:rsidRPr="00444D98">
        <w:rPr>
          <w:rFonts w:ascii="Arial" w:hAnsi="Arial" w:cs="Arial"/>
        </w:rPr>
        <w:t>dietoterapii</w:t>
      </w:r>
      <w:proofErr w:type="spellEnd"/>
      <w:r w:rsidRPr="00444D98">
        <w:rPr>
          <w:rFonts w:ascii="Arial" w:hAnsi="Arial" w:cs="Arial"/>
        </w:rPr>
        <w:t xml:space="preserve"> choroby Hashimoto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453DBF3A" w14:textId="2E2A0E8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Rola białka w wybranych chorobach nerek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 </w:t>
      </w:r>
    </w:p>
    <w:p w14:paraId="644B921D" w14:textId="1E7BF3B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Rola glutaminy i argininy w oparzeniach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2B87D8DB" w14:textId="144250F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Zasady diety w marskości wątroby w okresie niewyrównania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4AE0FEBB" w14:textId="4F28A2CA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444D98">
        <w:rPr>
          <w:rFonts w:ascii="Arial" w:hAnsi="Arial" w:cs="Arial"/>
        </w:rPr>
        <w:t>Dietoterapia</w:t>
      </w:r>
      <w:proofErr w:type="spellEnd"/>
      <w:r w:rsidRPr="00444D98">
        <w:rPr>
          <w:rFonts w:ascii="Arial" w:hAnsi="Arial" w:cs="Arial"/>
        </w:rPr>
        <w:t xml:space="preserve"> w przewlekłej niewydolności nerek w okresie wyrównania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409E21FC" w14:textId="64FA0CC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Algorytm postępowania żywieniowego u chorych z nowotworami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1C5CCCB7" w14:textId="67C90F9F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Terapia żywieniowa w chorobie </w:t>
      </w:r>
      <w:proofErr w:type="spellStart"/>
      <w:r w:rsidRPr="00444D98">
        <w:rPr>
          <w:rFonts w:ascii="Arial" w:hAnsi="Arial" w:cs="Arial"/>
        </w:rPr>
        <w:t>Leśniowskiego-Crohna</w:t>
      </w:r>
      <w:proofErr w:type="spellEnd"/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1E3A1C58" w14:textId="27694518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Postępowanie żywieniowe we wrzodziejącym zapaleniu jelita grubego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2FA5DC1B" w14:textId="0C8C66A4" w:rsid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Postępowanie żywieniowe w wybranej dyscyplinie sportu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31C0D32" w14:textId="014A488C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Zasady </w:t>
      </w:r>
      <w:proofErr w:type="spellStart"/>
      <w:r w:rsidRPr="00444D98">
        <w:rPr>
          <w:rFonts w:ascii="Arial" w:hAnsi="Arial" w:cs="Arial"/>
        </w:rPr>
        <w:t>dietoterapii</w:t>
      </w:r>
      <w:proofErr w:type="spellEnd"/>
      <w:r w:rsidRPr="00444D98">
        <w:rPr>
          <w:rFonts w:ascii="Arial" w:hAnsi="Arial" w:cs="Arial"/>
        </w:rPr>
        <w:t xml:space="preserve"> pacjentów dializowanych (dializa otrzewnowa i hemodializa)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6FFB1CE0" w14:textId="19CDC15C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Zasady żywienia chorych z depresją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F8FB830" w14:textId="057F9721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Zasady żywienia w ostrym zapaleniu trzustki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1799B1D4" w14:textId="0AD58E84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Omów, posługując się przykładami, rodzaje transportu składników odżywczych przez błony biologiczne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695D0A98" w14:textId="3DC91EA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Omów procesy trawienia zachodzące w jelicie cienkim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16C5D95" w14:textId="67A9D3CE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Trzustka budowa i funkcje. Enzymy trzustkowe i ich rola w trawieniu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54EFA57" w14:textId="777777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Co to jest bariera jelitowa i jakie są jej funkcje. Od czego zależy prawidłowa funkcja bariery jelitowej? </w:t>
      </w:r>
    </w:p>
    <w:p w14:paraId="50B6923F" w14:textId="75467D26" w:rsid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Omów przyczyny najczęściej występujących niedoborów i nietolerancji pokarmowych po operacjach </w:t>
      </w:r>
      <w:proofErr w:type="spellStart"/>
      <w:r w:rsidRPr="00444D98">
        <w:rPr>
          <w:rFonts w:ascii="Arial" w:hAnsi="Arial" w:cs="Arial"/>
        </w:rPr>
        <w:t>bariatrycznych</w:t>
      </w:r>
      <w:proofErr w:type="spellEnd"/>
      <w:r w:rsidRPr="00444D98">
        <w:rPr>
          <w:rFonts w:ascii="Arial" w:hAnsi="Arial" w:cs="Arial"/>
        </w:rPr>
        <w:t xml:space="preserve"> oraz zasady ich korygowania</w:t>
      </w:r>
      <w:r w:rsidR="00635EEB">
        <w:rPr>
          <w:rFonts w:ascii="Arial" w:hAnsi="Arial" w:cs="Arial"/>
        </w:rPr>
        <w:t>.</w:t>
      </w:r>
    </w:p>
    <w:p w14:paraId="56244451" w14:textId="2C3C08C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Omów postępowanie dietetyczne u pacjenta w ciągu pierwszego miesiąca  po chirurgicznym leczeniu otyłości</w:t>
      </w:r>
      <w:r w:rsidR="00635EEB">
        <w:rPr>
          <w:rFonts w:ascii="Arial" w:hAnsi="Arial" w:cs="Arial"/>
        </w:rPr>
        <w:t>.</w:t>
      </w:r>
    </w:p>
    <w:p w14:paraId="485DCA4A" w14:textId="162A6CD4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444D98">
        <w:rPr>
          <w:rFonts w:ascii="Arial" w:hAnsi="Arial" w:cs="Arial"/>
        </w:rPr>
        <w:t>Cholestaza</w:t>
      </w:r>
      <w:proofErr w:type="spellEnd"/>
      <w:r w:rsidRPr="00444D98">
        <w:rPr>
          <w:rFonts w:ascii="Arial" w:hAnsi="Arial" w:cs="Arial"/>
        </w:rPr>
        <w:t xml:space="preserve"> wewnątrzwątrobowa w ciąży – definicja, objawy, postępowanie, konsekwencje dla dziecka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5126642E" w14:textId="749DB803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Planowanie żywienia dojelitowego i pozajelitowego. Organizacja żywienia  dojelitowego (dokumentacja)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48DE16BF" w14:textId="61A9315E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Gospodarka </w:t>
      </w:r>
      <w:proofErr w:type="spellStart"/>
      <w:r w:rsidRPr="00444D98">
        <w:rPr>
          <w:rFonts w:ascii="Arial" w:hAnsi="Arial" w:cs="Arial"/>
        </w:rPr>
        <w:t>wodno</w:t>
      </w:r>
      <w:proofErr w:type="spellEnd"/>
      <w:r w:rsidRPr="00444D98">
        <w:rPr>
          <w:rFonts w:ascii="Arial" w:hAnsi="Arial" w:cs="Arial"/>
        </w:rPr>
        <w:t xml:space="preserve"> – elektrolitowa i kwasowo – zasadowa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B1B75A8" w14:textId="32D7BABE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Patomechanizm powstawania bólu ostrego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77D6075" w14:textId="1923CB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Rodzaje i zastosowanie preparatów dietetycznych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5FEA4BB5" w14:textId="0D414FC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Zalecenia żywieniowe dla pacjentów z marskością wątroby jako konsekwencji uzależnienia alkoholowego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3A674B7A" w14:textId="1D9F2E7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Zaburzenia odżywiania u dzieci jako efekt nieprawidłowych relacji rodzinnych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7C7504D" w14:textId="7EC6272D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Żywienie w autyzmie i zespole Downa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46070AB" w14:textId="12D9E00A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Zalecenia żywieniowe w porażeniu mózgowym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22CF09AB" w14:textId="4B748852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Znaczenie diety u osób zakażonych wirusem HIV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7BB2ABC6" w14:textId="509E7D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lastRenderedPageBreak/>
        <w:t>Otwarte i zamknięte zakłady żywienia zbiorowego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1074D626" w14:textId="239FD3EF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Wymień najważniejsze grupy reakcji chemicznych wpływających na jakość żywności podczas przechowywania. Jakich produktów one dotyczą</w:t>
      </w:r>
      <w:r w:rsidR="00635EEB">
        <w:rPr>
          <w:rFonts w:ascii="Arial" w:hAnsi="Arial" w:cs="Arial"/>
        </w:rPr>
        <w:t>?</w:t>
      </w:r>
      <w:r w:rsidRPr="00444D98">
        <w:rPr>
          <w:rFonts w:ascii="Arial" w:hAnsi="Arial" w:cs="Arial"/>
        </w:rPr>
        <w:t xml:space="preserve"> </w:t>
      </w:r>
    </w:p>
    <w:p w14:paraId="6D483629" w14:textId="459246E0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Jaka mikroflora ma zasadnicze znaczenie w psuciu się żywności przechowywanej w warunkach chłodniczych i jakie czynniki wpływają na szybkość tych zmian</w:t>
      </w:r>
      <w:r w:rsidR="00635EEB">
        <w:rPr>
          <w:rFonts w:ascii="Arial" w:hAnsi="Arial" w:cs="Arial"/>
        </w:rPr>
        <w:t>?</w:t>
      </w:r>
      <w:r w:rsidRPr="00444D98">
        <w:rPr>
          <w:rFonts w:ascii="Arial" w:hAnsi="Arial" w:cs="Arial"/>
        </w:rPr>
        <w:t xml:space="preserve"> </w:t>
      </w:r>
    </w:p>
    <w:p w14:paraId="0652B23E" w14:textId="77777777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Jak zmienia się zapotrzebowanie energetyczne kobiety w poszczególnych trymestrach ciąży? </w:t>
      </w:r>
    </w:p>
    <w:p w14:paraId="2D8CA501" w14:textId="6B40299A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Zalecenia żywieniowe w niedokrwistości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7A2DED9" w14:textId="1788DDF4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Pojęcie bezpieczeństwa żywności i bezpieczeństwa żywnościowego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0E4BE940" w14:textId="78B7876B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>Zagrożenia fizyczne żywności i kryteria ich podziału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</w:t>
      </w:r>
    </w:p>
    <w:p w14:paraId="113FFB7E" w14:textId="33D31366" w:rsidR="00444D98" w:rsidRPr="00444D98" w:rsidRDefault="00444D98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44D98">
        <w:rPr>
          <w:rFonts w:ascii="Arial" w:hAnsi="Arial" w:cs="Arial"/>
        </w:rPr>
        <w:t xml:space="preserve">Charakterystyka </w:t>
      </w:r>
      <w:r w:rsidR="00635EEB">
        <w:rPr>
          <w:rFonts w:ascii="Arial" w:hAnsi="Arial" w:cs="Arial"/>
        </w:rPr>
        <w:t>k</w:t>
      </w:r>
      <w:r w:rsidRPr="00444D98">
        <w:rPr>
          <w:rFonts w:ascii="Arial" w:hAnsi="Arial" w:cs="Arial"/>
        </w:rPr>
        <w:t>rajowych systemów jakości żywności</w:t>
      </w:r>
      <w:r w:rsidR="00635EEB">
        <w:rPr>
          <w:rFonts w:ascii="Arial" w:hAnsi="Arial" w:cs="Arial"/>
        </w:rPr>
        <w:t>.</w:t>
      </w:r>
      <w:r w:rsidRPr="00444D98">
        <w:rPr>
          <w:rFonts w:ascii="Arial" w:hAnsi="Arial" w:cs="Arial"/>
        </w:rPr>
        <w:t xml:space="preserve">  </w:t>
      </w:r>
    </w:p>
    <w:p w14:paraId="33126386" w14:textId="439C0FE3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635EEB">
        <w:rPr>
          <w:rFonts w:ascii="Arial" w:hAnsi="Arial" w:cs="Arial"/>
        </w:rPr>
        <w:t>Tracebility</w:t>
      </w:r>
      <w:proofErr w:type="spellEnd"/>
      <w:r w:rsidRPr="00635EEB">
        <w:rPr>
          <w:rFonts w:ascii="Arial" w:hAnsi="Arial" w:cs="Arial"/>
        </w:rPr>
        <w:t xml:space="preserve"> –znaczenie dla zapewnienia jakości i bezpieczeństwa zdrowotnego żywności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6E9B0E76" w14:textId="551A5D84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>Charakterystyka najważniejszych zagrożeń chemicznych żywności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 </w:t>
      </w:r>
    </w:p>
    <w:p w14:paraId="4D86BA48" w14:textId="5416D32C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>Pojęcie dobrej praktyki cateringowej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44A527E9" w14:textId="0AB0329A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>Ogólna charakterystyka etapów procesu produkcji gastronomicznej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0EF8E1A0" w14:textId="290E8F85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 xml:space="preserve">Charakterystyka i możliwości zastosowania metody produkcji potraw </w:t>
      </w:r>
      <w:proofErr w:type="spellStart"/>
      <w:r>
        <w:rPr>
          <w:rFonts w:ascii="Arial" w:hAnsi="Arial" w:cs="Arial"/>
        </w:rPr>
        <w:t>s</w:t>
      </w:r>
      <w:r w:rsidRPr="00635EEB">
        <w:rPr>
          <w:rFonts w:ascii="Arial" w:hAnsi="Arial" w:cs="Arial"/>
        </w:rPr>
        <w:t>ous</w:t>
      </w:r>
      <w:proofErr w:type="spellEnd"/>
      <w:r w:rsidRPr="00635EEB">
        <w:rPr>
          <w:rFonts w:ascii="Arial" w:hAnsi="Arial" w:cs="Arial"/>
        </w:rPr>
        <w:t>-vide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7CF471A4" w14:textId="022FA19A" w:rsidR="00635EEB" w:rsidRPr="00635EEB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 xml:space="preserve">Charakterystyka procesów technologicznych w restauracjach typu </w:t>
      </w:r>
      <w:r>
        <w:rPr>
          <w:rFonts w:ascii="Arial" w:hAnsi="Arial" w:cs="Arial"/>
        </w:rPr>
        <w:t>f</w:t>
      </w:r>
      <w:r w:rsidRPr="00635EEB">
        <w:rPr>
          <w:rFonts w:ascii="Arial" w:hAnsi="Arial" w:cs="Arial"/>
        </w:rPr>
        <w:t>ast-</w:t>
      </w:r>
      <w:r>
        <w:rPr>
          <w:rFonts w:ascii="Arial" w:hAnsi="Arial" w:cs="Arial"/>
        </w:rPr>
        <w:t>f</w:t>
      </w:r>
      <w:r w:rsidRPr="00635EEB">
        <w:rPr>
          <w:rFonts w:ascii="Arial" w:hAnsi="Arial" w:cs="Arial"/>
        </w:rPr>
        <w:t>ood</w:t>
      </w:r>
      <w:r>
        <w:rPr>
          <w:rFonts w:ascii="Arial" w:hAnsi="Arial" w:cs="Arial"/>
        </w:rPr>
        <w:t>.</w:t>
      </w:r>
      <w:r w:rsidRPr="00635EEB">
        <w:rPr>
          <w:rFonts w:ascii="Arial" w:hAnsi="Arial" w:cs="Arial"/>
        </w:rPr>
        <w:t xml:space="preserve"> </w:t>
      </w:r>
    </w:p>
    <w:p w14:paraId="5FFF1316" w14:textId="6937D169" w:rsidR="00444D98" w:rsidRPr="008A69E4" w:rsidRDefault="00635EEB" w:rsidP="008A081B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635EEB">
        <w:rPr>
          <w:rFonts w:ascii="Arial" w:hAnsi="Arial" w:cs="Arial"/>
        </w:rPr>
        <w:t xml:space="preserve">Zasada zastosowania systemu </w:t>
      </w:r>
      <w:proofErr w:type="spellStart"/>
      <w:r>
        <w:rPr>
          <w:rFonts w:ascii="Arial" w:hAnsi="Arial" w:cs="Arial"/>
        </w:rPr>
        <w:t>c</w:t>
      </w:r>
      <w:r w:rsidRPr="00635EEB">
        <w:rPr>
          <w:rFonts w:ascii="Arial" w:hAnsi="Arial" w:cs="Arial"/>
        </w:rPr>
        <w:t>ook-serve</w:t>
      </w:r>
      <w:proofErr w:type="spellEnd"/>
      <w:r w:rsidRPr="00635EEB">
        <w:rPr>
          <w:rFonts w:ascii="Arial" w:hAnsi="Arial" w:cs="Arial"/>
        </w:rPr>
        <w:t xml:space="preserve"> w produkcji potraw</w:t>
      </w:r>
      <w:r>
        <w:rPr>
          <w:rFonts w:ascii="Arial" w:hAnsi="Arial" w:cs="Arial"/>
        </w:rPr>
        <w:t>.</w:t>
      </w:r>
    </w:p>
    <w:sectPr w:rsidR="00444D98" w:rsidRPr="008A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53F4"/>
    <w:multiLevelType w:val="hybridMultilevel"/>
    <w:tmpl w:val="FAB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577A"/>
    <w:multiLevelType w:val="hybridMultilevel"/>
    <w:tmpl w:val="6E68E500"/>
    <w:lvl w:ilvl="0" w:tplc="C9A2F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024E"/>
    <w:multiLevelType w:val="hybridMultilevel"/>
    <w:tmpl w:val="FDFA0EF6"/>
    <w:lvl w:ilvl="0" w:tplc="65C22C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27"/>
    <w:rsid w:val="00444D98"/>
    <w:rsid w:val="00557324"/>
    <w:rsid w:val="00635EEB"/>
    <w:rsid w:val="008A081B"/>
    <w:rsid w:val="008A69E4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FC16"/>
  <w15:chartTrackingRefBased/>
  <w15:docId w15:val="{32514632-99E0-4267-8BA1-0216E63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4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44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4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 - dietetyka studia magisterskie</dc:title>
  <dc:subject/>
  <dc:creator>Milena Kobylińska</dc:creator>
  <cp:keywords/>
  <dc:description/>
  <cp:lastModifiedBy>Milena Kobylińska</cp:lastModifiedBy>
  <cp:revision>3</cp:revision>
  <dcterms:created xsi:type="dcterms:W3CDTF">2021-02-21T15:11:00Z</dcterms:created>
  <dcterms:modified xsi:type="dcterms:W3CDTF">2021-02-21T16:43:00Z</dcterms:modified>
</cp:coreProperties>
</file>